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05" w:rsidRPr="00D845A1" w:rsidRDefault="00730A17" w:rsidP="00E94ABD">
      <w:pPr>
        <w:ind w:left="142"/>
        <w:jc w:val="center"/>
        <w:rPr>
          <w:rFonts w:ascii="Times New Roman" w:hAnsi="Times New Roman"/>
          <w:szCs w:val="22"/>
        </w:rPr>
      </w:pPr>
      <w:r w:rsidRPr="00730A17">
        <w:rPr>
          <w:b/>
          <w:bCs/>
          <w:caps/>
          <w:szCs w:val="22"/>
        </w:rPr>
        <w:t xml:space="preserve">Перечень документов и информации, необходимых для оценки </w:t>
      </w:r>
      <w:r w:rsidR="00E94ABD">
        <w:rPr>
          <w:b/>
          <w:bCs/>
          <w:caps/>
          <w:szCs w:val="22"/>
        </w:rPr>
        <w:t>товарного знака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Общая информация о Предприятии.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  <w:gridCol w:w="6013"/>
      </w:tblGrid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Сокращенное наименование 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Юридический адрес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Место нахождения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Факс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КПП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ОКПО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Дата присвоения ОГРН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pStyle w:val="a3"/>
              <w:rPr>
                <w:rFonts w:eastAsia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Код отрасли по ОКОНХ (название)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Генеральный директор (ФИО), тел.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613205" w:rsidRPr="00E94ABD" w:rsidTr="00FA079E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E94ABD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Главный бухгалтер (ФИО), тел.</w:t>
            </w:r>
          </w:p>
        </w:tc>
        <w:tc>
          <w:tcPr>
            <w:tcW w:w="3141" w:type="pct"/>
            <w:vAlign w:val="center"/>
          </w:tcPr>
          <w:p w:rsidR="00613205" w:rsidRPr="00E94ABD" w:rsidRDefault="00613205" w:rsidP="00FA079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</w:tbl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Общая информация об оцениваемой компании (история создания, достижения, основные направления деятельности, перечень дочерних предприятий, филиалов, представительств, краткое описание всех предыдущих юридических образований и принадлежности в прошлом к другим предприятиям).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Уставные и регистрационные документы: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Устав Предприятия</w:t>
      </w:r>
      <w:r w:rsidRPr="00E94AB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94ABD">
        <w:rPr>
          <w:rFonts w:ascii="Times New Roman" w:hAnsi="Times New Roman"/>
          <w:sz w:val="23"/>
          <w:szCs w:val="23"/>
        </w:rPr>
        <w:t>в действующей редакции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Свидетельства о регистрации и перерегистрации Предприятия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Свидетельство о постановке на налоговый учет 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Документы по товарному знаку: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Копии правоустанавливающих документов по товарному знаку.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Описание товарного знака.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Справка о видах продукции, выпускаемой с использованием указанного товарного знака: объем выпуска в натуральном и стоимостном выражениях.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Балансовая и остаточная стоимость товарного знака по данным бухгалтерского учета на дату оценки.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Величина затрат на разработку, регистрацию, судебную защиту и на рекламу оцениваемого товарного знака. 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Ценовая информация по продукции конкурирующих производств, по доле рынка, занимаемой продукцией с оцениваемым товарным знаком. 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по имеющимся лицензионным договорам использования товарного знака (копии договоров).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Финансовая отчетность за период 2008-2010 гг. и на дату оценки в составе: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lastRenderedPageBreak/>
        <w:t>Учетная политика и приказ ее утвердивший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Бухгалтерский баланс (форма 1) с пояснительными записками к балансу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Отчет о прибылях и убытках (форма 2)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Приложение к бухгалтерскому балансу (форма 5)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Аудиторское заключение 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об операционной деятельности компании за 3-5 лет: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Краткое описание операционной деятельности, основных видов деятельности;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Сведения о каких-либо правах, согласованиях, разрешениях, сертификатах или лицензиях, необходимых компании  для осуществления своей деятельности.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выручки и себестоимости по основным видам деятельности компании;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Динамика цен на основные виды продукции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управленческих и коммерческих расходов;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прочих доходов и расходов;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Данные о структуре покупателей и заказчиков с указанием видов товаров (работ, услуг), которые они потребляют, доли в общем объеме;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Данные об основных поставщиках и подрядчиках с указанием их доли в общем объеме, видов продукции и услуг, которые они поставляют (оказывают), долгосрочности сотрудничества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Бизнес-планы компании: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Среднесрочные планы по сбыту продукции (в натуральном и стоимостном выражении), а также планируемых операционных;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План инвестиционных и капитальных вложений;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Потребности и планы по привлечению финансовых ресурсов, в том </w:t>
      </w:r>
      <w:proofErr w:type="gramStart"/>
      <w:r w:rsidRPr="00E94ABD">
        <w:rPr>
          <w:rFonts w:ascii="Times New Roman" w:hAnsi="Times New Roman"/>
          <w:sz w:val="23"/>
          <w:szCs w:val="23"/>
        </w:rPr>
        <w:t>числе</w:t>
      </w:r>
      <w:proofErr w:type="gramEnd"/>
      <w:r w:rsidRPr="00E94ABD">
        <w:rPr>
          <w:rFonts w:ascii="Times New Roman" w:hAnsi="Times New Roman"/>
          <w:sz w:val="23"/>
          <w:szCs w:val="23"/>
        </w:rPr>
        <w:t xml:space="preserve"> как за счет увеличения уставного капитала, так и за счет заемных источников;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 положении компании на рынке: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Сведения об основных конкурентах, занимаемой доли рынка, сравнение динамики развития компании со среднерыночными показателями и показателями отрасли основных покупателей;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Сведения об основных потребителях компании, как тех которым уже осуществляются поставки (оказываются услуги), так и перспективных;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Отчеты по проведенным компанией маркетинговым исследования и обзорам рынка (при наличии);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Инвестиционные меморандумы и презентации.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 структуре компании и персонале: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Организационная схема компании на дату оценки;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Данные о численности персонала и средней заработной плате в разрезе основных групп сотрудников (дирекция, административный персонал, ИТР, рабочие и пр.) за период аналогичный представлению финансовой отчетности;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Краткие сведения о руководстве, в том числе опыт работы, образование, продолжительность работы в компании, участие в прибыли. </w:t>
      </w:r>
    </w:p>
    <w:p w:rsidR="00613205" w:rsidRPr="00E94ABD" w:rsidRDefault="00613205" w:rsidP="00613205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lastRenderedPageBreak/>
        <w:t>Информация об активах и обязательствах предприятия на дату оценки, в том числе: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нематериальных активов с копиями патентов, свидетельств и лицензионных договоров, а также пояснением относительно их значимости в текущей и перспективной деятельности компании;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E94ABD">
        <w:rPr>
          <w:rFonts w:ascii="Times New Roman" w:hAnsi="Times New Roman"/>
          <w:sz w:val="23"/>
          <w:szCs w:val="23"/>
        </w:rPr>
        <w:t>Расшифровка основных средств с указанием: наименования, марки (модели), инвентарного номера, даты ввода в эксплуатацию (приобретения), первоначальной стоимости, восстановительной стоимости, остаточной стоимости, срока полезного использования и нормы амортизации.</w:t>
      </w:r>
      <w:proofErr w:type="gramEnd"/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По недвижимому имуществу в собственности предприятия – свидетельства о регистрации прав, технические паспорта БТИ, договора аренды земельных участков и кадастровые планы участков.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E94ABD">
        <w:rPr>
          <w:rFonts w:ascii="Times New Roman" w:hAnsi="Times New Roman"/>
          <w:sz w:val="23"/>
          <w:szCs w:val="23"/>
        </w:rPr>
        <w:t>По оборудованию – полное наименование, марка, модель, заводской номер, основные технические характеристики, краткое описание технического состояния, данные о капитальных ремонтах (дата, вид, затраты);</w:t>
      </w:r>
      <w:proofErr w:type="gramEnd"/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По транспорту - полное наименование, марка, модель, </w:t>
      </w:r>
      <w:r w:rsidRPr="00E94ABD">
        <w:rPr>
          <w:rFonts w:ascii="Times New Roman" w:hAnsi="Times New Roman"/>
          <w:sz w:val="23"/>
          <w:szCs w:val="23"/>
          <w:lang w:val="en-US"/>
        </w:rPr>
        <w:t>VIN</w:t>
      </w:r>
      <w:r w:rsidRPr="00E94ABD">
        <w:rPr>
          <w:rFonts w:ascii="Times New Roman" w:hAnsi="Times New Roman"/>
          <w:sz w:val="23"/>
          <w:szCs w:val="23"/>
        </w:rPr>
        <w:t>, номер государственного регистрационного знака, основные краткое описание технического состояния, пробег с начала эксплуатации;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дебиторской задолженности с указанием основания и даты возникновения, ожидаемого срока погашения, валюты расчетов,  с выделением просроченной и безнадежной задолженности;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Расшифровка кредиторской задолженности с указанием основания и даты возникновения, ожидаемого срока погашения, валюты расчетов;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 xml:space="preserve">Информация о запасах (по основным видам группам) с выделением неликвидных; 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E94ABD">
        <w:rPr>
          <w:rFonts w:ascii="Times New Roman" w:hAnsi="Times New Roman"/>
          <w:sz w:val="23"/>
          <w:szCs w:val="23"/>
        </w:rPr>
        <w:t xml:space="preserve">Информация о финансовых вложениях: для кредитов, займов и вкладов - заемщик, валюта, объем, процентная ставка, обеспечение, график погашения, для ценных бумаг (по каждому виду) - вид бумаги, реквизиты, количество, сумма, информация о выплате доходов, купонов и процентов за прошлые периоды; </w:t>
      </w:r>
      <w:proofErr w:type="gramEnd"/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Сведения о дочерних, зависимых обществах, других организациях, в которые произведены инвестиции, а также об организациях-заемщиках: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Полное фирменное наименование предприятия;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Вид инвестиций;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Дата инвестиций;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Сумма инвестиций;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Доля инвестиций в Уставном капитале инвестируемого общества (организации).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Бухгалтерская отчетность на последнюю отчетную дату и за последний отчетный год (баланс-форма 1 с приложениями, отчет о прибылях и убытках – форма 2)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Ретроспективная информация о доходах или иных преференциях, полученных от участия.</w:t>
      </w:r>
    </w:p>
    <w:p w:rsidR="00613205" w:rsidRPr="00E94ABD" w:rsidRDefault="00613205" w:rsidP="00613205">
      <w:pPr>
        <w:numPr>
          <w:ilvl w:val="0"/>
          <w:numId w:val="5"/>
        </w:numPr>
        <w:tabs>
          <w:tab w:val="clear" w:pos="927"/>
          <w:tab w:val="left" w:pos="567"/>
          <w:tab w:val="num" w:pos="1418"/>
        </w:tabs>
        <w:suppressAutoHyphens w:val="0"/>
        <w:spacing w:before="120" w:after="0" w:line="240" w:lineRule="auto"/>
        <w:ind w:left="1418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Существующие планы операций с активами (продажа, дополнительное инвестирование и т.п.)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 привлеченных кредитах и займах (кредитор, валюта, объем, процентная ставка, обеспечение, график погашения), а также прочих долгосрочных обязательствах;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lastRenderedPageBreak/>
        <w:t>Информация об открытых счетах в банках;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 полученных претензиях, вступивших в законную силу судебных решениях, а также текущих разбирательствах;</w:t>
      </w:r>
    </w:p>
    <w:p w:rsidR="00613205" w:rsidRPr="00E94ABD" w:rsidRDefault="00613205" w:rsidP="00613205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Информация об арендованных основных средствах с указанием наименования, срока аренды, размера арендной платы и графика платежей.</w:t>
      </w:r>
    </w:p>
    <w:p w:rsidR="00613205" w:rsidRPr="00E94ABD" w:rsidRDefault="00613205" w:rsidP="006132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13205" w:rsidRPr="00E94ABD" w:rsidRDefault="00613205" w:rsidP="006132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Запрашиваемую информацию Заказчик предоставляет Исполнителю в заверенном виде (подписанную уполномоченным лицом Заказчика и заверенную его печатью) в виде копий или/и справок. В процессе подробного изучения Объекта оценки Исполнителю может потребоваться дополнительная информация, для предоставления которой будет направлен дополнительный запрос.</w:t>
      </w:r>
    </w:p>
    <w:p w:rsidR="00E94ABD" w:rsidRDefault="00E94ABD" w:rsidP="00730A17">
      <w:pPr>
        <w:spacing w:before="120" w:line="240" w:lineRule="auto"/>
        <w:rPr>
          <w:rFonts w:ascii="Times New Roman" w:hAnsi="Times New Roman"/>
          <w:sz w:val="23"/>
          <w:szCs w:val="23"/>
        </w:rPr>
      </w:pPr>
    </w:p>
    <w:p w:rsidR="009872CF" w:rsidRPr="00E94ABD" w:rsidRDefault="009872CF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 уважением,</w:t>
      </w:r>
    </w:p>
    <w:p w:rsidR="00730A17" w:rsidRPr="00E94ABD" w:rsidRDefault="00730A17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Князьков Але</w:t>
      </w:r>
      <w:bookmarkStart w:id="0" w:name="_GoBack"/>
      <w:bookmarkEnd w:id="0"/>
      <w:r w:rsidRPr="00E94ABD">
        <w:rPr>
          <w:rFonts w:ascii="Times New Roman" w:hAnsi="Times New Roman"/>
          <w:sz w:val="23"/>
          <w:szCs w:val="23"/>
        </w:rPr>
        <w:t>ксандр Геннадьевич, MRICS</w:t>
      </w:r>
    </w:p>
    <w:p w:rsidR="00730A17" w:rsidRPr="00E94ABD" w:rsidRDefault="008B07F5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Генеральный директор ООО «НОК»</w:t>
      </w:r>
    </w:p>
    <w:p w:rsidR="008B07F5" w:rsidRPr="008B07F5" w:rsidRDefault="008B07F5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Тел. +7 (495) 967-47-87</w:t>
      </w:r>
    </w:p>
    <w:p w:rsidR="008B07F5" w:rsidRPr="008B07F5" w:rsidRDefault="008B07F5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Моб. +7 (903) 763-94-89</w:t>
      </w:r>
    </w:p>
    <w:p w:rsidR="008B07F5" w:rsidRPr="008B07F5" w:rsidRDefault="008B07F5" w:rsidP="008B07F5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E-</w:t>
      </w:r>
      <w:proofErr w:type="spellStart"/>
      <w:r w:rsidRPr="008B07F5">
        <w:rPr>
          <w:rFonts w:ascii="Times New Roman" w:hAnsi="Times New Roman"/>
          <w:sz w:val="23"/>
          <w:szCs w:val="23"/>
        </w:rPr>
        <w:t>mail</w:t>
      </w:r>
      <w:proofErr w:type="spellEnd"/>
      <w:r w:rsidRPr="008B07F5">
        <w:rPr>
          <w:rFonts w:ascii="Times New Roman" w:hAnsi="Times New Roman"/>
          <w:sz w:val="23"/>
          <w:szCs w:val="23"/>
        </w:rPr>
        <w:t>: info@valcons.ru</w:t>
      </w:r>
    </w:p>
    <w:p w:rsidR="00730A17" w:rsidRPr="00E94ABD" w:rsidRDefault="008B07F5" w:rsidP="008B07F5">
      <w:pPr>
        <w:spacing w:before="0" w:after="0" w:line="360" w:lineRule="auto"/>
        <w:rPr>
          <w:b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www.valcons.ru</w:t>
      </w:r>
    </w:p>
    <w:sectPr w:rsidR="00730A17" w:rsidRPr="00E94ABD" w:rsidSect="00730A17">
      <w:pgSz w:w="11906" w:h="16838"/>
      <w:pgMar w:top="153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09" w:rsidRDefault="00AC5C09" w:rsidP="00730A17">
      <w:pPr>
        <w:spacing w:before="0" w:after="0" w:line="240" w:lineRule="auto"/>
      </w:pPr>
      <w:r>
        <w:separator/>
      </w:r>
    </w:p>
  </w:endnote>
  <w:endnote w:type="continuationSeparator" w:id="0">
    <w:p w:rsidR="00AC5C09" w:rsidRDefault="00AC5C09" w:rsidP="00730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09" w:rsidRDefault="00AC5C09" w:rsidP="00730A17">
      <w:pPr>
        <w:spacing w:before="0" w:after="0" w:line="240" w:lineRule="auto"/>
      </w:pPr>
      <w:r>
        <w:separator/>
      </w:r>
    </w:p>
  </w:footnote>
  <w:footnote w:type="continuationSeparator" w:id="0">
    <w:p w:rsidR="00AC5C09" w:rsidRDefault="00AC5C09" w:rsidP="00730A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3D1918"/>
    <w:multiLevelType w:val="hybridMultilevel"/>
    <w:tmpl w:val="18DAD592"/>
    <w:lvl w:ilvl="0" w:tplc="B538D8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439C0853"/>
    <w:multiLevelType w:val="hybridMultilevel"/>
    <w:tmpl w:val="0BE6D5D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559E4FE4"/>
    <w:multiLevelType w:val="singleLevel"/>
    <w:tmpl w:val="E740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CC10B1"/>
    <w:multiLevelType w:val="hybridMultilevel"/>
    <w:tmpl w:val="1996D59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A17"/>
    <w:rsid w:val="002F08BD"/>
    <w:rsid w:val="004341BC"/>
    <w:rsid w:val="004A0ED9"/>
    <w:rsid w:val="00514424"/>
    <w:rsid w:val="00613205"/>
    <w:rsid w:val="00730A17"/>
    <w:rsid w:val="00832F03"/>
    <w:rsid w:val="008B07F5"/>
    <w:rsid w:val="008B13FF"/>
    <w:rsid w:val="009554EE"/>
    <w:rsid w:val="009872CF"/>
    <w:rsid w:val="00AA4A8B"/>
    <w:rsid w:val="00AC5C09"/>
    <w:rsid w:val="00B740A4"/>
    <w:rsid w:val="00BE324D"/>
    <w:rsid w:val="00E94ABD"/>
    <w:rsid w:val="00EC4FA8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7"/>
    <w:pPr>
      <w:suppressAutoHyphens/>
      <w:spacing w:before="80" w:after="80" w:line="312" w:lineRule="auto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30A17"/>
    <w:pPr>
      <w:suppressAutoHyphens w:val="0"/>
      <w:spacing w:before="0" w:after="0" w:line="240" w:lineRule="auto"/>
      <w:jc w:val="left"/>
    </w:pPr>
    <w:rPr>
      <w:rFonts w:ascii="Times New Roman" w:eastAsiaTheme="minorEastAsia" w:hAnsi="Times New Roman"/>
      <w:noProof/>
      <w:kern w:val="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30A17"/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0A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A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A17"/>
    <w:rPr>
      <w:rFonts w:ascii="Arial" w:eastAsia="Times New Roman" w:hAnsi="Arial" w:cs="Times New Roman"/>
      <w:kern w:val="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0A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A17"/>
    <w:rPr>
      <w:rFonts w:ascii="Arial" w:eastAsia="Times New Roman" w:hAnsi="Arial" w:cs="Times New Roman"/>
      <w:kern w:val="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30A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A1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730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a.knyazkov</dc:creator>
  <cp:keywords/>
  <dc:description/>
  <cp:lastModifiedBy>Александр Князьков</cp:lastModifiedBy>
  <cp:revision>5</cp:revision>
  <dcterms:created xsi:type="dcterms:W3CDTF">2011-05-19T11:07:00Z</dcterms:created>
  <dcterms:modified xsi:type="dcterms:W3CDTF">2015-06-15T15:44:00Z</dcterms:modified>
</cp:coreProperties>
</file>